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Style w:val="None"/>
          <w:rFonts w:ascii="Helvetica" w:cs="Helvetica" w:hAnsi="Helvetica" w:eastAsia="Helvetica"/>
          <w:b w:val="1"/>
          <w:bCs w:val="1"/>
        </w:rPr>
      </w:pPr>
    </w:p>
    <w:p>
      <w:pPr>
        <w:pStyle w:val="Normal.0"/>
        <w:rPr>
          <w:rStyle w:val="None"/>
          <w:rFonts w:ascii="Helvetica" w:cs="Helvetica" w:hAnsi="Helvetica" w:eastAsia="Helvetica"/>
          <w:b w:val="1"/>
          <w:bCs w:val="1"/>
        </w:rPr>
      </w:pPr>
      <w:r>
        <w:rPr>
          <w:rStyle w:val="None"/>
          <w:rFonts w:ascii="Helvetica" w:hAnsi="Helvetica"/>
          <w:b w:val="1"/>
          <w:bCs w:val="1"/>
          <w:rtl w:val="0"/>
          <w:lang w:val="en-US"/>
        </w:rPr>
        <w:t>Welcome to the Complete Mediation Elemental Service. This is a simple and efficient service which can be used at any time in a disputed claim. There is no need to provide the full details of the claim. Both parties know what the dispute is about and the Mediator will assist each party on a confidential basis to resolve the dispute.</w:t>
      </w:r>
    </w:p>
    <w:p>
      <w:pPr>
        <w:pStyle w:val="Normal.0"/>
        <w:rPr>
          <w:rStyle w:val="None"/>
          <w:rFonts w:ascii="Helvetica" w:cs="Helvetica" w:hAnsi="Helvetica" w:eastAsia="Helvetica"/>
          <w:b w:val="1"/>
          <w:bCs w:val="1"/>
        </w:rPr>
      </w:pPr>
    </w:p>
    <w:p>
      <w:pPr>
        <w:pStyle w:val="Normal.0"/>
        <w:rPr>
          <w:rStyle w:val="None"/>
          <w:rFonts w:ascii="Helvetica" w:cs="Helvetica" w:hAnsi="Helvetica" w:eastAsia="Helvetica"/>
          <w:b w:val="1"/>
          <w:bCs w:val="1"/>
        </w:rPr>
      </w:pPr>
      <w:r>
        <w:rPr>
          <w:rStyle w:val="None"/>
          <w:rFonts w:ascii="Helvetica" w:hAnsi="Helvetica"/>
          <w:b w:val="1"/>
          <w:bCs w:val="1"/>
          <w:rtl w:val="0"/>
          <w:lang w:val="en-US"/>
        </w:rPr>
        <w:t>The Elemental process is set out below, if you agree the procedure then both parties need to sign and return the Agreement with the fee and the case will be referred to one of our Mediators who will send the parties the confidential briefs to complete.</w:t>
      </w:r>
    </w:p>
    <w:p>
      <w:pPr>
        <w:pStyle w:val="Normal.0"/>
        <w:rPr>
          <w:rStyle w:val="None"/>
          <w:rFonts w:ascii="Helvetica" w:cs="Helvetica" w:hAnsi="Helvetica" w:eastAsia="Helvetica"/>
          <w:b w:val="1"/>
          <w:bCs w:val="1"/>
        </w:rPr>
      </w:pPr>
    </w:p>
    <w:p>
      <w:pPr>
        <w:pStyle w:val="Normal.0"/>
        <w:rPr>
          <w:rStyle w:val="None"/>
          <w:rFonts w:ascii="Calibri" w:cs="Calibri" w:hAnsi="Calibri" w:eastAsia="Calibri"/>
        </w:rPr>
      </w:pPr>
      <w:r>
        <w:rPr>
          <w:rStyle w:val="None"/>
          <w:rFonts w:ascii="Helvetica" w:hAnsi="Helvetica"/>
          <w:b w:val="1"/>
          <w:bCs w:val="1"/>
          <w:rtl w:val="0"/>
          <w:lang w:val="en-US"/>
        </w:rPr>
        <w:t xml:space="preserve"> The Elemental process;</w:t>
      </w:r>
    </w:p>
    <w:p>
      <w:pPr>
        <w:pStyle w:val="Normal.0"/>
        <w:jc w:val="center"/>
        <w:rPr>
          <w:rStyle w:val="None"/>
          <w:rFonts w:ascii="Helvetica" w:cs="Helvetica" w:hAnsi="Helvetica" w:eastAsia="Helvetica"/>
          <w:b w:val="1"/>
          <w:bCs w:val="1"/>
        </w:rPr>
      </w:pPr>
    </w:p>
    <w:p>
      <w:pPr>
        <w:pStyle w:val="Normal.0"/>
        <w:jc w:val="center"/>
        <w:rPr>
          <w:rStyle w:val="None"/>
          <w:rFonts w:ascii="Calibri" w:cs="Calibri" w:hAnsi="Calibri" w:eastAsia="Calibri"/>
        </w:rPr>
      </w:pPr>
      <w:r>
        <w:rPr>
          <w:rStyle w:val="None"/>
          <w:rFonts w:ascii="Helvetica" w:hAnsi="Helvetica"/>
          <w:b w:val="1"/>
          <w:bCs w:val="1"/>
          <w:rtl w:val="0"/>
          <w:lang w:val="en-US"/>
        </w:rPr>
        <w:t>ELEMENTAL TIMELINE</w:t>
      </w:r>
    </w:p>
    <w:p>
      <w:pPr>
        <w:pStyle w:val="Normal.0"/>
        <w:jc w:val="center"/>
        <w:rPr>
          <w:rStyle w:val="None"/>
          <w:rFonts w:ascii="Calibri" w:cs="Calibri" w:hAnsi="Calibri" w:eastAsia="Calibri"/>
        </w:rPr>
      </w:pPr>
    </w:p>
    <w:tbl>
      <w:tblPr>
        <w:tblW w:w="8789"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789"/>
      </w:tblGrid>
      <w:tr>
        <w:tblPrEx>
          <w:shd w:val="clear" w:color="auto" w:fill="ced7e7"/>
        </w:tblPrEx>
        <w:trPr>
          <w:trHeight w:val="567" w:hRule="atLeast"/>
        </w:trPr>
        <w:tc>
          <w:tcPr>
            <w:tcW w:type="dxa" w:w="87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0"/>
                <w:numId w:val="1"/>
              </w:numPr>
              <w:spacing w:before="120" w:after="120"/>
              <w:rPr>
                <w:rFonts w:ascii="Calibri" w:hAnsi="Calibri"/>
                <w:lang w:val="en-US"/>
              </w:rPr>
            </w:pPr>
            <w:r>
              <w:rPr>
                <w:rStyle w:val="None"/>
                <w:rFonts w:ascii="Calibri" w:hAnsi="Calibri"/>
                <w:rtl w:val="0"/>
                <w:lang w:val="en-US"/>
              </w:rPr>
              <w:t>Initial contact and response from  Elemental (including forms to complete and nomination of Mediator)</w:t>
            </w:r>
          </w:p>
        </w:tc>
      </w:tr>
      <w:tr>
        <w:tblPrEx>
          <w:shd w:val="clear" w:color="auto" w:fill="ced7e7"/>
        </w:tblPrEx>
        <w:trPr>
          <w:trHeight w:val="567" w:hRule="atLeast"/>
        </w:trPr>
        <w:tc>
          <w:tcPr>
            <w:tcW w:type="dxa" w:w="87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0"/>
                <w:numId w:val="2"/>
              </w:numPr>
              <w:spacing w:before="120" w:after="120"/>
              <w:rPr>
                <w:rFonts w:ascii="Calibri" w:hAnsi="Calibri"/>
                <w:lang w:val="en-US"/>
              </w:rPr>
            </w:pPr>
            <w:r>
              <w:rPr>
                <w:rStyle w:val="None"/>
                <w:rFonts w:ascii="Calibri" w:hAnsi="Calibri"/>
                <w:rtl w:val="0"/>
                <w:lang w:val="en-US"/>
              </w:rPr>
              <w:t>Receipt of completed forms and fee paid: Mediator contacts the parties within 24 hours asking for first offers</w:t>
            </w:r>
          </w:p>
        </w:tc>
      </w:tr>
      <w:tr>
        <w:tblPrEx>
          <w:shd w:val="clear" w:color="auto" w:fill="ced7e7"/>
        </w:tblPrEx>
        <w:trPr>
          <w:trHeight w:val="267" w:hRule="atLeast"/>
        </w:trPr>
        <w:tc>
          <w:tcPr>
            <w:tcW w:type="dxa" w:w="87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0"/>
                <w:numId w:val="3"/>
              </w:numPr>
              <w:spacing w:before="120" w:after="120"/>
              <w:rPr>
                <w:rFonts w:ascii="Calibri" w:hAnsi="Calibri"/>
                <w:lang w:val="en-US"/>
              </w:rPr>
            </w:pPr>
            <w:r>
              <w:rPr>
                <w:rStyle w:val="None"/>
                <w:rFonts w:ascii="Calibri" w:hAnsi="Calibri"/>
                <w:rtl w:val="0"/>
                <w:lang w:val="en-US"/>
              </w:rPr>
              <w:t xml:space="preserve">Mediator responds to the parties on the day of the first offer with comments </w:t>
            </w:r>
          </w:p>
        </w:tc>
      </w:tr>
      <w:tr>
        <w:tblPrEx>
          <w:shd w:val="clear" w:color="auto" w:fill="ced7e7"/>
        </w:tblPrEx>
        <w:trPr>
          <w:trHeight w:val="567" w:hRule="atLeast"/>
        </w:trPr>
        <w:tc>
          <w:tcPr>
            <w:tcW w:type="dxa" w:w="87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0"/>
                <w:numId w:val="4"/>
              </w:numPr>
              <w:spacing w:before="120" w:after="120"/>
              <w:rPr>
                <w:rFonts w:ascii="Calibri" w:hAnsi="Calibri"/>
                <w:lang w:val="en-US"/>
              </w:rPr>
            </w:pPr>
            <w:r>
              <w:rPr>
                <w:rStyle w:val="None"/>
                <w:rFonts w:ascii="Calibri" w:hAnsi="Calibri"/>
                <w:rtl w:val="0"/>
                <w:lang w:val="en-US"/>
              </w:rPr>
              <w:t xml:space="preserve">Mediator reviews within 24 hours and speaks to each party within that time frame.  A third offer is then invited. </w:t>
            </w:r>
          </w:p>
        </w:tc>
      </w:tr>
      <w:tr>
        <w:tblPrEx>
          <w:shd w:val="clear" w:color="auto" w:fill="ced7e7"/>
        </w:tblPrEx>
        <w:trPr>
          <w:trHeight w:val="567" w:hRule="atLeast"/>
        </w:trPr>
        <w:tc>
          <w:tcPr>
            <w:tcW w:type="dxa" w:w="87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0"/>
                <w:numId w:val="5"/>
              </w:numPr>
              <w:spacing w:before="120" w:after="120"/>
              <w:rPr>
                <w:rFonts w:ascii="Calibri" w:hAnsi="Calibri"/>
                <w:lang w:val="en-US"/>
              </w:rPr>
            </w:pPr>
            <w:r>
              <w:rPr>
                <w:rStyle w:val="None"/>
                <w:rFonts w:ascii="Calibri" w:hAnsi="Calibri"/>
                <w:rtl w:val="0"/>
                <w:lang w:val="en-US"/>
              </w:rPr>
              <w:t xml:space="preserve">The Mediator again comments and says case settled or asks if the parties wish to engage further. </w:t>
            </w:r>
          </w:p>
        </w:tc>
      </w:tr>
      <w:tr>
        <w:tblPrEx>
          <w:shd w:val="clear" w:color="auto" w:fill="ced7e7"/>
        </w:tblPrEx>
        <w:trPr>
          <w:trHeight w:val="267" w:hRule="atLeast"/>
        </w:trPr>
        <w:tc>
          <w:tcPr>
            <w:tcW w:type="dxa" w:w="87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0"/>
                <w:numId w:val="6"/>
              </w:numPr>
              <w:spacing w:before="120" w:after="120"/>
              <w:rPr>
                <w:rFonts w:ascii="Calibri" w:hAnsi="Calibri"/>
                <w:lang w:val="en-US"/>
              </w:rPr>
            </w:pPr>
            <w:r>
              <w:rPr>
                <w:rStyle w:val="None"/>
                <w:rFonts w:ascii="Calibri" w:hAnsi="Calibri"/>
                <w:rtl w:val="0"/>
                <w:lang w:val="en-US"/>
              </w:rPr>
              <w:t>The end of the timed process</w:t>
            </w:r>
          </w:p>
        </w:tc>
      </w:tr>
    </w:tbl>
    <w:p>
      <w:pPr>
        <w:pStyle w:val="Normal.0"/>
        <w:widowControl w:val="0"/>
        <w:ind w:left="216" w:hanging="216"/>
        <w:jc w:val="center"/>
        <w:rPr>
          <w:rStyle w:val="None"/>
          <w:rFonts w:ascii="Calibri" w:cs="Calibri" w:hAnsi="Calibri" w:eastAsia="Calibri"/>
        </w:rPr>
      </w:pPr>
    </w:p>
    <w:p>
      <w:pPr>
        <w:pStyle w:val="Normal.0"/>
        <w:widowControl w:val="0"/>
        <w:ind w:left="108" w:hanging="108"/>
        <w:jc w:val="center"/>
        <w:rPr>
          <w:rStyle w:val="None"/>
          <w:rFonts w:ascii="Calibri" w:cs="Calibri" w:hAnsi="Calibri" w:eastAsia="Calibri"/>
        </w:rPr>
      </w:pPr>
    </w:p>
    <w:p>
      <w:pPr>
        <w:pStyle w:val="Normal.0"/>
        <w:rPr>
          <w:rStyle w:val="None"/>
          <w:rFonts w:ascii="Helvetica" w:cs="Helvetica" w:hAnsi="Helvetica" w:eastAsia="Helvetica"/>
          <w:b w:val="1"/>
          <w:bCs w:val="1"/>
        </w:rPr>
      </w:pPr>
    </w:p>
    <w:p>
      <w:pPr>
        <w:pStyle w:val="Normal.0"/>
        <w:rPr>
          <w:rStyle w:val="None"/>
          <w:rFonts w:ascii="Helvetica" w:cs="Helvetica" w:hAnsi="Helvetica" w:eastAsia="Helvetica"/>
          <w:b w:val="1"/>
          <w:bCs w:val="1"/>
        </w:rPr>
      </w:pPr>
      <w:r>
        <w:rPr>
          <w:rStyle w:val="None"/>
          <w:rFonts w:ascii="Helvetica" w:hAnsi="Helvetica"/>
          <w:b w:val="1"/>
          <w:bCs w:val="1"/>
          <w:rtl w:val="0"/>
          <w:lang w:val="en-US"/>
        </w:rPr>
        <w:t>The Elemental Process</w:t>
      </w:r>
    </w:p>
    <w:p>
      <w:pPr>
        <w:pStyle w:val="Normal.0"/>
        <w:rPr>
          <w:rStyle w:val="None"/>
          <w:rFonts w:ascii="Helvetica" w:cs="Helvetica" w:hAnsi="Helvetica" w:eastAsia="Helvetica"/>
          <w:b w:val="1"/>
          <w:bCs w:val="1"/>
        </w:rPr>
      </w:pPr>
    </w:p>
    <w:p>
      <w:pPr>
        <w:pStyle w:val="List Paragraph"/>
        <w:numPr>
          <w:ilvl w:val="0"/>
          <w:numId w:val="8"/>
        </w:numPr>
        <w:bidi w:val="0"/>
        <w:ind w:right="0"/>
        <w:jc w:val="both"/>
        <w:rPr>
          <w:rFonts w:ascii="Calibri" w:hAnsi="Calibri"/>
          <w:rtl w:val="0"/>
          <w:lang w:val="en-US"/>
        </w:rPr>
      </w:pPr>
      <w:r>
        <w:rPr>
          <w:rStyle w:val="None"/>
          <w:rFonts w:ascii="Calibri" w:hAnsi="Calibri"/>
          <w:rtl w:val="0"/>
          <w:lang w:val="en-US"/>
        </w:rPr>
        <w:t>On receipt of the confidential offers if there is no settlement the Mediator will provide confidential comment to each party;</w:t>
      </w:r>
    </w:p>
    <w:p>
      <w:pPr>
        <w:pStyle w:val="List Paragraph"/>
        <w:rPr>
          <w:rStyle w:val="None"/>
          <w:rFonts w:ascii="Calibri" w:cs="Calibri" w:hAnsi="Calibri" w:eastAsia="Calibri"/>
          <w:sz w:val="22"/>
          <w:szCs w:val="22"/>
        </w:rPr>
      </w:pPr>
    </w:p>
    <w:p>
      <w:pPr>
        <w:pStyle w:val="List Paragraph"/>
        <w:numPr>
          <w:ilvl w:val="0"/>
          <w:numId w:val="9"/>
        </w:numPr>
        <w:bidi w:val="0"/>
        <w:ind w:right="0"/>
        <w:jc w:val="both"/>
        <w:rPr>
          <w:rFonts w:ascii="Calibri" w:hAnsi="Calibri"/>
          <w:rtl w:val="0"/>
          <w:lang w:val="en-US"/>
        </w:rPr>
      </w:pPr>
      <w:r>
        <w:rPr>
          <w:rStyle w:val="None"/>
          <w:rFonts w:ascii="Calibri" w:hAnsi="Calibri"/>
          <w:rtl w:val="0"/>
          <w:lang w:val="en-US"/>
        </w:rPr>
        <w:t>The Mediator invites a second round of offers;</w:t>
      </w:r>
    </w:p>
    <w:p>
      <w:pPr>
        <w:pStyle w:val="List Paragraph"/>
        <w:rPr>
          <w:rStyle w:val="None"/>
          <w:rFonts w:ascii="Calibri" w:cs="Calibri" w:hAnsi="Calibri" w:eastAsia="Calibri"/>
        </w:rPr>
      </w:pPr>
    </w:p>
    <w:p>
      <w:pPr>
        <w:pStyle w:val="List Paragraph"/>
        <w:numPr>
          <w:ilvl w:val="0"/>
          <w:numId w:val="9"/>
        </w:numPr>
        <w:bidi w:val="0"/>
        <w:ind w:right="0"/>
        <w:jc w:val="both"/>
        <w:rPr>
          <w:rFonts w:ascii="Calibri" w:hAnsi="Calibri"/>
          <w:rtl w:val="0"/>
          <w:lang w:val="en-US"/>
        </w:rPr>
      </w:pPr>
      <w:r>
        <w:rPr>
          <w:rStyle w:val="None"/>
          <w:rFonts w:ascii="Calibri" w:hAnsi="Calibri"/>
          <w:rtl w:val="0"/>
          <w:lang w:val="en-US"/>
        </w:rPr>
        <w:t>If no agreement the Mediator will contact each party for a confidential discussion and if agreed communicate any relevant information to the parties;</w:t>
      </w:r>
      <w:r>
        <w:rPr>
          <w:rStyle w:val="None"/>
          <w:rFonts w:ascii="Calibri" w:cs="Calibri" w:hAnsi="Calibri" w:eastAsia="Calibri"/>
        </w:rPr>
        <w:br w:type="textWrapping"/>
      </w:r>
    </w:p>
    <w:p>
      <w:pPr>
        <w:pStyle w:val="List Paragraph"/>
        <w:rPr>
          <w:rStyle w:val="None"/>
          <w:rFonts w:ascii="Calibri" w:cs="Calibri" w:hAnsi="Calibri" w:eastAsia="Calibri"/>
        </w:rPr>
      </w:pPr>
    </w:p>
    <w:p>
      <w:pPr>
        <w:pStyle w:val="List Paragraph"/>
        <w:numPr>
          <w:ilvl w:val="0"/>
          <w:numId w:val="9"/>
        </w:numPr>
        <w:bidi w:val="0"/>
        <w:ind w:right="0"/>
        <w:jc w:val="both"/>
        <w:rPr>
          <w:rFonts w:ascii="Calibri" w:hAnsi="Calibri"/>
          <w:rtl w:val="0"/>
          <w:lang w:val="en-US"/>
        </w:rPr>
      </w:pPr>
      <w:r>
        <w:rPr>
          <w:rStyle w:val="None"/>
          <w:rFonts w:ascii="Calibri" w:hAnsi="Calibri"/>
          <w:rtl w:val="0"/>
          <w:lang w:val="en-US"/>
        </w:rPr>
        <w:t>The Mediator invites the parties to make the third and final offer;</w:t>
      </w:r>
    </w:p>
    <w:p>
      <w:pPr>
        <w:pStyle w:val="List Paragraph"/>
        <w:ind w:left="0" w:firstLine="0"/>
        <w:rPr>
          <w:rStyle w:val="None"/>
          <w:rFonts w:ascii="Calibri" w:cs="Calibri" w:hAnsi="Calibri" w:eastAsia="Calibri"/>
        </w:rPr>
      </w:pPr>
    </w:p>
    <w:p>
      <w:pPr>
        <w:pStyle w:val="List Paragraph"/>
        <w:numPr>
          <w:ilvl w:val="0"/>
          <w:numId w:val="9"/>
        </w:numPr>
        <w:bidi w:val="0"/>
        <w:ind w:right="0"/>
        <w:jc w:val="both"/>
        <w:rPr>
          <w:rFonts w:ascii="Calibri" w:hAnsi="Calibri"/>
          <w:rtl w:val="0"/>
          <w:lang w:val="en-US"/>
        </w:rPr>
      </w:pPr>
      <w:r>
        <w:rPr>
          <w:rStyle w:val="None"/>
          <w:rFonts w:ascii="Calibri" w:hAnsi="Calibri"/>
          <w:rtl w:val="0"/>
          <w:lang w:val="en-US"/>
        </w:rPr>
        <w:t>If settlement is agreed the Mediator will notify the parties and invite them to prepare a draft agreement for circulation.</w:t>
      </w:r>
    </w:p>
    <w:p>
      <w:pPr>
        <w:pStyle w:val="List Paragraph"/>
        <w:rPr>
          <w:rStyle w:val="None"/>
          <w:rFonts w:ascii="Calibri" w:cs="Calibri" w:hAnsi="Calibri" w:eastAsia="Calibri"/>
        </w:rPr>
      </w:pPr>
    </w:p>
    <w:p>
      <w:pPr>
        <w:pStyle w:val="List Paragraph"/>
        <w:numPr>
          <w:ilvl w:val="0"/>
          <w:numId w:val="9"/>
        </w:numPr>
        <w:bidi w:val="0"/>
        <w:ind w:right="0"/>
        <w:jc w:val="both"/>
        <w:rPr>
          <w:rFonts w:ascii="Calibri" w:hAnsi="Calibri"/>
          <w:rtl w:val="0"/>
          <w:lang w:val="en-US"/>
        </w:rPr>
      </w:pPr>
      <w:r>
        <w:rPr>
          <w:rStyle w:val="None"/>
          <w:rFonts w:ascii="Calibri" w:hAnsi="Calibri"/>
          <w:rtl w:val="0"/>
          <w:lang w:val="en-US"/>
        </w:rPr>
        <w:t>If the parties do not settle the Mediator can be retained (on an agreed hourly rate) to suggest further scope for mediation with a view to resolving the dispute. In the event of settlement at that stage again the Mediator will invite the parties to prepare a settlement agreement.</w:t>
      </w:r>
    </w:p>
    <w:p>
      <w:pPr>
        <w:pStyle w:val="Normal.0"/>
        <w:jc w:val="center"/>
        <w:rPr>
          <w:rStyle w:val="None"/>
          <w:rFonts w:ascii="Helvetica" w:cs="Helvetica" w:hAnsi="Helvetica" w:eastAsia="Helvetica"/>
          <w:b w:val="1"/>
          <w:bCs w:val="1"/>
        </w:rPr>
      </w:pPr>
    </w:p>
    <w:p>
      <w:pPr>
        <w:pStyle w:val="Normal.0"/>
        <w:jc w:val="center"/>
        <w:rPr>
          <w:rStyle w:val="None"/>
          <w:rFonts w:ascii="Helvetica" w:cs="Helvetica" w:hAnsi="Helvetica" w:eastAsia="Helvetica"/>
          <w:b w:val="1"/>
          <w:bCs w:val="1"/>
        </w:rPr>
      </w:pPr>
      <w:r>
        <w:rPr>
          <w:rStyle w:val="None"/>
          <w:rFonts w:ascii="Helvetica" w:hAnsi="Helvetica"/>
          <w:b w:val="1"/>
          <w:bCs w:val="1"/>
          <w:rtl w:val="0"/>
          <w:lang w:val="en-US"/>
        </w:rPr>
        <w:t>FEES</w:t>
      </w:r>
    </w:p>
    <w:p>
      <w:pPr>
        <w:pStyle w:val="Normal.0"/>
        <w:rPr>
          <w:rStyle w:val="None"/>
          <w:rFonts w:ascii="Calibri" w:cs="Calibri" w:hAnsi="Calibri" w:eastAsia="Calibri"/>
        </w:rPr>
      </w:pPr>
    </w:p>
    <w:p>
      <w:pPr>
        <w:pStyle w:val="Normal.0"/>
        <w:rPr>
          <w:rStyle w:val="None"/>
          <w:rFonts w:ascii="Calibri" w:cs="Calibri" w:hAnsi="Calibri" w:eastAsia="Calibri"/>
        </w:rPr>
      </w:pPr>
      <w:r>
        <w:rPr>
          <w:rStyle w:val="None"/>
          <w:rFonts w:ascii="Calibri" w:hAnsi="Calibri"/>
          <w:rtl w:val="0"/>
          <w:lang w:val="en-US"/>
        </w:rPr>
        <w:t xml:space="preserve">Case value up to </w:t>
      </w:r>
      <w:r>
        <w:rPr>
          <w:rStyle w:val="None"/>
          <w:rFonts w:ascii="Calibri" w:hAnsi="Calibri" w:hint="default"/>
          <w:rtl w:val="0"/>
          <w:lang w:val="en-US"/>
        </w:rPr>
        <w:t>£</w:t>
      </w:r>
      <w:r>
        <w:rPr>
          <w:rStyle w:val="None"/>
          <w:rFonts w:ascii="Calibri" w:hAnsi="Calibri"/>
          <w:rtl w:val="0"/>
          <w:lang w:val="en-US"/>
        </w:rPr>
        <w:t xml:space="preserve">250,000 </w:t>
      </w:r>
      <w:r>
        <w:rPr>
          <w:rStyle w:val="None"/>
          <w:rFonts w:ascii="Calibri" w:hAnsi="Calibri" w:hint="default"/>
          <w:rtl w:val="0"/>
          <w:lang w:val="en-US"/>
        </w:rPr>
        <w:t xml:space="preserve">– </w:t>
      </w:r>
      <w:r>
        <w:rPr>
          <w:rStyle w:val="None"/>
          <w:rFonts w:ascii="Calibri" w:hAnsi="Calibri"/>
          <w:rtl w:val="0"/>
          <w:lang w:val="en-US"/>
        </w:rPr>
        <w:t xml:space="preserve">Fixed fee </w:t>
      </w:r>
      <w:r>
        <w:rPr>
          <w:rStyle w:val="None"/>
          <w:rFonts w:ascii="Calibri" w:hAnsi="Calibri" w:hint="default"/>
          <w:rtl w:val="0"/>
          <w:lang w:val="en-US"/>
        </w:rPr>
        <w:t>£</w:t>
      </w:r>
      <w:r>
        <w:rPr>
          <w:rStyle w:val="None"/>
          <w:rFonts w:ascii="Calibri" w:hAnsi="Calibri"/>
          <w:rtl w:val="0"/>
          <w:lang w:val="en-US"/>
        </w:rPr>
        <w:t>400 plus vat</w:t>
      </w:r>
    </w:p>
    <w:p>
      <w:pPr>
        <w:pStyle w:val="Normal.0"/>
        <w:rPr>
          <w:rStyle w:val="None"/>
          <w:rFonts w:ascii="Calibri" w:cs="Calibri" w:hAnsi="Calibri" w:eastAsia="Calibri"/>
        </w:rPr>
      </w:pPr>
      <w:r>
        <w:rPr>
          <w:rStyle w:val="None"/>
          <w:rFonts w:ascii="Calibri" w:hAnsi="Calibri"/>
          <w:rtl w:val="0"/>
          <w:lang w:val="en-US"/>
        </w:rPr>
        <w:t xml:space="preserve">Post stage 3 of Timeline Mediator fee </w:t>
      </w:r>
      <w:r>
        <w:rPr>
          <w:rStyle w:val="None"/>
          <w:rFonts w:ascii="Calibri" w:hAnsi="Calibri" w:hint="default"/>
          <w:rtl w:val="0"/>
          <w:lang w:val="en-US"/>
        </w:rPr>
        <w:t>£</w:t>
      </w:r>
      <w:r>
        <w:rPr>
          <w:rStyle w:val="None"/>
          <w:rFonts w:ascii="Calibri" w:hAnsi="Calibri"/>
          <w:rtl w:val="0"/>
          <w:lang w:val="en-US"/>
        </w:rPr>
        <w:t xml:space="preserve">150 per hour plus vat. </w:t>
      </w:r>
    </w:p>
    <w:p>
      <w:pPr>
        <w:pStyle w:val="Normal.0"/>
        <w:jc w:val="center"/>
        <w:rPr>
          <w:rStyle w:val="None"/>
          <w:rFonts w:ascii="Helvetica" w:cs="Helvetica" w:hAnsi="Helvetica" w:eastAsia="Helvetica"/>
          <w:b w:val="1"/>
          <w:bCs w:val="1"/>
        </w:rPr>
      </w:pPr>
    </w:p>
    <w:p>
      <w:pPr>
        <w:pStyle w:val="Normal.0"/>
        <w:jc w:val="center"/>
        <w:rPr>
          <w:rStyle w:val="None"/>
          <w:rFonts w:ascii="Helvetica" w:cs="Helvetica" w:hAnsi="Helvetica" w:eastAsia="Helvetica"/>
          <w:b w:val="1"/>
          <w:bCs w:val="1"/>
        </w:rPr>
      </w:pPr>
      <w:r>
        <w:rPr>
          <w:rStyle w:val="None"/>
          <w:rFonts w:ascii="Helvetica" w:hAnsi="Helvetica"/>
          <w:b w:val="1"/>
          <w:bCs w:val="1"/>
          <w:rtl w:val="0"/>
          <w:lang w:val="en-US"/>
        </w:rPr>
        <w:t>AGREEMENT</w:t>
      </w:r>
    </w:p>
    <w:p>
      <w:pPr>
        <w:pStyle w:val="Normal.0"/>
        <w:rPr>
          <w:rStyle w:val="None"/>
          <w:rFonts w:ascii="Calibri" w:cs="Calibri" w:hAnsi="Calibri" w:eastAsia="Calibri"/>
        </w:rPr>
      </w:pPr>
    </w:p>
    <w:p>
      <w:pPr>
        <w:pStyle w:val="Normal.0"/>
        <w:rPr>
          <w:rStyle w:val="None"/>
          <w:rFonts w:ascii="Calibri" w:cs="Calibri" w:hAnsi="Calibri" w:eastAsia="Calibri"/>
        </w:rPr>
      </w:pPr>
      <w:r>
        <w:rPr>
          <w:rStyle w:val="None"/>
          <w:rFonts w:ascii="Calibri" w:hAnsi="Calibri"/>
          <w:rtl w:val="0"/>
          <w:lang w:val="en-US"/>
        </w:rPr>
        <w:t xml:space="preserve">The parties agree to follow the process described above and to pay </w:t>
      </w:r>
      <w:r>
        <w:rPr>
          <w:rStyle w:val="None"/>
          <w:rFonts w:ascii="Calibri" w:hAnsi="Calibri" w:hint="default"/>
          <w:rtl w:val="0"/>
          <w:lang w:val="en-US"/>
        </w:rPr>
        <w:t xml:space="preserve">£      </w:t>
      </w:r>
      <w:r>
        <w:rPr>
          <w:rStyle w:val="None"/>
          <w:rFonts w:ascii="Calibri" w:hAnsi="Calibri"/>
          <w:rtl w:val="0"/>
          <w:lang w:val="en-US"/>
        </w:rPr>
        <w:t xml:space="preserve">to Complete Mediation in advance of the Mediation commencing and to pay </w:t>
      </w:r>
      <w:r>
        <w:rPr>
          <w:rStyle w:val="None"/>
          <w:rFonts w:ascii="Calibri" w:hAnsi="Calibri" w:hint="default"/>
          <w:rtl w:val="0"/>
          <w:lang w:val="en-US"/>
        </w:rPr>
        <w:t xml:space="preserve">£      </w:t>
      </w:r>
      <w:r>
        <w:rPr>
          <w:rStyle w:val="None"/>
          <w:rFonts w:ascii="Calibri" w:hAnsi="Calibri"/>
          <w:rtl w:val="0"/>
          <w:lang w:val="en-US"/>
        </w:rPr>
        <w:t>for any additional time arising under paragraph 11 of the Process.  The parties agree that the Mediator is an independent Mediator and that the parties have the benefit of independent advice.  The parties agree that the Mediator will have no liability to them for any act, omissions, statement or otherwise in the course of the Mediation.</w:t>
      </w:r>
    </w:p>
    <w:p>
      <w:pPr>
        <w:pStyle w:val="Normal.0"/>
        <w:rPr>
          <w:rStyle w:val="None"/>
          <w:rFonts w:ascii="Calibri" w:cs="Calibri" w:hAnsi="Calibri" w:eastAsia="Calibri"/>
        </w:rPr>
      </w:pPr>
    </w:p>
    <w:p>
      <w:pPr>
        <w:pStyle w:val="Normal.0"/>
        <w:rPr>
          <w:rStyle w:val="None"/>
          <w:rFonts w:ascii="Helvetica" w:cs="Helvetica" w:hAnsi="Helvetica" w:eastAsia="Helvetica"/>
          <w:b w:val="1"/>
          <w:bCs w:val="1"/>
        </w:rPr>
      </w:pPr>
      <w:r>
        <w:rPr>
          <w:rStyle w:val="None"/>
          <w:rFonts w:ascii="Helvetica" w:hAnsi="Helvetica"/>
          <w:b w:val="1"/>
          <w:bCs w:val="1"/>
          <w:rtl w:val="0"/>
          <w:lang w:val="en-US"/>
        </w:rPr>
        <w:t>Claimant</w:t>
      </w:r>
    </w:p>
    <w:p>
      <w:pPr>
        <w:pStyle w:val="Normal.0"/>
        <w:rPr>
          <w:rStyle w:val="None"/>
          <w:rFonts w:ascii="Helvetica" w:cs="Helvetica" w:hAnsi="Helvetica" w:eastAsia="Helvetica"/>
          <w:b w:val="1"/>
          <w:bCs w:val="1"/>
        </w:rPr>
      </w:pPr>
    </w:p>
    <w:tbl>
      <w:tblPr>
        <w:tblW w:w="924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93"/>
        <w:gridCol w:w="7149"/>
      </w:tblGrid>
      <w:tr>
        <w:tblPrEx>
          <w:shd w:val="clear" w:color="auto" w:fill="ced7e7"/>
        </w:tblPrEx>
        <w:trPr>
          <w:trHeight w:val="310" w:hRule="atLeast"/>
        </w:trPr>
        <w:tc>
          <w:tcPr>
            <w:tcW w:type="dxa" w:w="2093"/>
            <w:tcBorders>
              <w:top w:val="nil"/>
              <w:left w:val="nil"/>
              <w:bottom w:val="nil"/>
              <w:right w:val="nil"/>
            </w:tcBorders>
            <w:shd w:val="clear" w:color="auto" w:fill="auto"/>
            <w:tcMar>
              <w:top w:type="dxa" w:w="80"/>
              <w:left w:type="dxa" w:w="80"/>
              <w:bottom w:type="dxa" w:w="80"/>
              <w:right w:type="dxa" w:w="80"/>
            </w:tcMar>
            <w:vAlign w:val="top"/>
          </w:tcPr>
          <w:p>
            <w:pPr>
              <w:pStyle w:val="Normal.0"/>
              <w:spacing w:after="200"/>
            </w:pPr>
            <w:r>
              <w:rPr>
                <w:rStyle w:val="None"/>
                <w:rFonts w:ascii="Calibri" w:hAnsi="Calibri"/>
                <w:rtl w:val="0"/>
                <w:lang w:val="en-US"/>
              </w:rPr>
              <w:t>Signed</w:t>
            </w:r>
          </w:p>
        </w:tc>
        <w:tc>
          <w:tcPr>
            <w:tcW w:type="dxa" w:w="7149"/>
            <w:tcBorders>
              <w:top w:val="nil"/>
              <w:left w:val="nil"/>
              <w:bottom w:val="nil"/>
              <w:right w:val="nil"/>
            </w:tcBorders>
            <w:shd w:val="clear" w:color="auto" w:fill="auto"/>
            <w:tcMar>
              <w:top w:type="dxa" w:w="80"/>
              <w:left w:type="dxa" w:w="80"/>
              <w:bottom w:type="dxa" w:w="80"/>
              <w:right w:type="dxa" w:w="80"/>
            </w:tcMar>
            <w:vAlign w:val="top"/>
          </w:tcPr>
          <w:p>
            <w:pPr>
              <w:pStyle w:val="Normal.0"/>
              <w:spacing w:after="200"/>
            </w:pPr>
            <w:r>
              <w:rPr>
                <w:rStyle w:val="None"/>
                <w:rtl w:val="0"/>
                <w:lang w:val="en-US"/>
              </w:rPr>
              <w:t>     </w:t>
            </w:r>
          </w:p>
        </w:tc>
      </w:tr>
      <w:tr>
        <w:tblPrEx>
          <w:shd w:val="clear" w:color="auto" w:fill="ced7e7"/>
        </w:tblPrEx>
        <w:trPr>
          <w:trHeight w:val="310" w:hRule="atLeast"/>
        </w:trPr>
        <w:tc>
          <w:tcPr>
            <w:tcW w:type="dxa" w:w="2093"/>
            <w:tcBorders>
              <w:top w:val="nil"/>
              <w:left w:val="nil"/>
              <w:bottom w:val="nil"/>
              <w:right w:val="nil"/>
            </w:tcBorders>
            <w:shd w:val="clear" w:color="auto" w:fill="auto"/>
            <w:tcMar>
              <w:top w:type="dxa" w:w="80"/>
              <w:left w:type="dxa" w:w="80"/>
              <w:bottom w:type="dxa" w:w="80"/>
              <w:right w:type="dxa" w:w="80"/>
            </w:tcMar>
            <w:vAlign w:val="top"/>
          </w:tcPr>
          <w:p>
            <w:pPr>
              <w:pStyle w:val="Normal.0"/>
              <w:spacing w:after="200"/>
            </w:pPr>
            <w:r>
              <w:rPr>
                <w:rStyle w:val="None"/>
                <w:rFonts w:ascii="Calibri" w:hAnsi="Calibri"/>
                <w:rtl w:val="0"/>
                <w:lang w:val="en-US"/>
              </w:rPr>
              <w:t>Dated</w:t>
            </w:r>
          </w:p>
        </w:tc>
        <w:tc>
          <w:tcPr>
            <w:tcW w:type="dxa" w:w="7149"/>
            <w:tcBorders>
              <w:top w:val="nil"/>
              <w:left w:val="nil"/>
              <w:bottom w:val="nil"/>
              <w:right w:val="nil"/>
            </w:tcBorders>
            <w:shd w:val="clear" w:color="auto" w:fill="auto"/>
            <w:tcMar>
              <w:top w:type="dxa" w:w="80"/>
              <w:left w:type="dxa" w:w="80"/>
              <w:bottom w:type="dxa" w:w="80"/>
              <w:right w:type="dxa" w:w="80"/>
            </w:tcMar>
            <w:vAlign w:val="top"/>
          </w:tcPr>
          <w:p>
            <w:pPr>
              <w:pStyle w:val="Normal.0"/>
              <w:spacing w:after="200"/>
            </w:pPr>
            <w:r>
              <w:rPr>
                <w:rStyle w:val="None"/>
                <w:rtl w:val="0"/>
                <w:lang w:val="en-US"/>
              </w:rPr>
              <w:t>     </w:t>
            </w:r>
          </w:p>
        </w:tc>
      </w:tr>
    </w:tbl>
    <w:p>
      <w:pPr>
        <w:pStyle w:val="Normal.0"/>
        <w:widowControl w:val="0"/>
        <w:ind w:left="108" w:hanging="108"/>
        <w:jc w:val="left"/>
        <w:rPr>
          <w:rStyle w:val="None"/>
          <w:rFonts w:ascii="Helvetica" w:cs="Helvetica" w:hAnsi="Helvetica" w:eastAsia="Helvetica"/>
          <w:b w:val="1"/>
          <w:bCs w:val="1"/>
        </w:rPr>
      </w:pPr>
    </w:p>
    <w:p>
      <w:pPr>
        <w:pStyle w:val="Normal.0"/>
        <w:widowControl w:val="0"/>
        <w:rPr>
          <w:rStyle w:val="None"/>
          <w:rFonts w:ascii="Helvetica" w:cs="Helvetica" w:hAnsi="Helvetica" w:eastAsia="Helvetica"/>
          <w:b w:val="1"/>
          <w:bCs w:val="1"/>
        </w:rPr>
      </w:pPr>
    </w:p>
    <w:p>
      <w:pPr>
        <w:pStyle w:val="Normal.0"/>
        <w:rPr>
          <w:rStyle w:val="None"/>
          <w:rFonts w:ascii="Helvetica" w:cs="Helvetica" w:hAnsi="Helvetica" w:eastAsia="Helvetica"/>
          <w:b w:val="1"/>
          <w:bCs w:val="1"/>
        </w:rPr>
      </w:pPr>
    </w:p>
    <w:p>
      <w:pPr>
        <w:pStyle w:val="Normal.0"/>
        <w:rPr>
          <w:rStyle w:val="None"/>
          <w:rFonts w:ascii="Helvetica" w:cs="Helvetica" w:hAnsi="Helvetica" w:eastAsia="Helvetica"/>
          <w:b w:val="1"/>
          <w:bCs w:val="1"/>
        </w:rPr>
      </w:pPr>
    </w:p>
    <w:p>
      <w:pPr>
        <w:pStyle w:val="Normal.0"/>
        <w:rPr>
          <w:rStyle w:val="None"/>
          <w:rFonts w:ascii="Helvetica" w:cs="Helvetica" w:hAnsi="Helvetica" w:eastAsia="Helvetica"/>
          <w:b w:val="1"/>
          <w:bCs w:val="1"/>
        </w:rPr>
      </w:pPr>
    </w:p>
    <w:p>
      <w:pPr>
        <w:pStyle w:val="Normal.0"/>
        <w:rPr>
          <w:rStyle w:val="None"/>
          <w:rFonts w:ascii="Helvetica" w:cs="Helvetica" w:hAnsi="Helvetica" w:eastAsia="Helvetica"/>
          <w:b w:val="1"/>
          <w:bCs w:val="1"/>
        </w:rPr>
      </w:pPr>
      <w:r>
        <w:rPr>
          <w:rStyle w:val="None"/>
          <w:rFonts w:ascii="Helvetica" w:hAnsi="Helvetica"/>
          <w:b w:val="1"/>
          <w:bCs w:val="1"/>
          <w:rtl w:val="0"/>
          <w:lang w:val="en-US"/>
        </w:rPr>
        <w:t xml:space="preserve">Defendant </w:t>
      </w:r>
    </w:p>
    <w:p>
      <w:pPr>
        <w:pStyle w:val="Normal.0"/>
        <w:rPr>
          <w:rStyle w:val="None"/>
          <w:rFonts w:ascii="Helvetica" w:cs="Helvetica" w:hAnsi="Helvetica" w:eastAsia="Helvetica"/>
          <w:b w:val="1"/>
          <w:bCs w:val="1"/>
        </w:rPr>
      </w:pPr>
    </w:p>
    <w:tbl>
      <w:tblPr>
        <w:tblW w:w="924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93"/>
        <w:gridCol w:w="7149"/>
      </w:tblGrid>
      <w:tr>
        <w:tblPrEx>
          <w:shd w:val="clear" w:color="auto" w:fill="ced7e7"/>
        </w:tblPrEx>
        <w:trPr>
          <w:trHeight w:val="310" w:hRule="atLeast"/>
        </w:trPr>
        <w:tc>
          <w:tcPr>
            <w:tcW w:type="dxa" w:w="2093"/>
            <w:tcBorders>
              <w:top w:val="nil"/>
              <w:left w:val="nil"/>
              <w:bottom w:val="nil"/>
              <w:right w:val="nil"/>
            </w:tcBorders>
            <w:shd w:val="clear" w:color="auto" w:fill="auto"/>
            <w:tcMar>
              <w:top w:type="dxa" w:w="80"/>
              <w:left w:type="dxa" w:w="80"/>
              <w:bottom w:type="dxa" w:w="80"/>
              <w:right w:type="dxa" w:w="80"/>
            </w:tcMar>
            <w:vAlign w:val="top"/>
          </w:tcPr>
          <w:p>
            <w:pPr>
              <w:pStyle w:val="Normal.0"/>
              <w:spacing w:after="200"/>
            </w:pPr>
            <w:r>
              <w:rPr>
                <w:rStyle w:val="None"/>
                <w:rFonts w:ascii="Calibri" w:hAnsi="Calibri"/>
                <w:rtl w:val="0"/>
                <w:lang w:val="en-US"/>
              </w:rPr>
              <w:t>Signed</w:t>
            </w:r>
          </w:p>
        </w:tc>
        <w:tc>
          <w:tcPr>
            <w:tcW w:type="dxa" w:w="7149"/>
            <w:tcBorders>
              <w:top w:val="nil"/>
              <w:left w:val="nil"/>
              <w:bottom w:val="nil"/>
              <w:right w:val="nil"/>
            </w:tcBorders>
            <w:shd w:val="clear" w:color="auto" w:fill="auto"/>
            <w:tcMar>
              <w:top w:type="dxa" w:w="80"/>
              <w:left w:type="dxa" w:w="80"/>
              <w:bottom w:type="dxa" w:w="80"/>
              <w:right w:type="dxa" w:w="80"/>
            </w:tcMar>
            <w:vAlign w:val="top"/>
          </w:tcPr>
          <w:p>
            <w:pPr>
              <w:pStyle w:val="Normal.0"/>
              <w:spacing w:after="200"/>
            </w:pPr>
            <w:r>
              <w:rPr>
                <w:rStyle w:val="None"/>
                <w:rtl w:val="0"/>
                <w:lang w:val="en-US"/>
              </w:rPr>
              <w:t>     </w:t>
            </w:r>
          </w:p>
        </w:tc>
      </w:tr>
      <w:tr>
        <w:tblPrEx>
          <w:shd w:val="clear" w:color="auto" w:fill="ced7e7"/>
        </w:tblPrEx>
        <w:trPr>
          <w:trHeight w:val="310" w:hRule="atLeast"/>
        </w:trPr>
        <w:tc>
          <w:tcPr>
            <w:tcW w:type="dxa" w:w="2093"/>
            <w:tcBorders>
              <w:top w:val="nil"/>
              <w:left w:val="nil"/>
              <w:bottom w:val="nil"/>
              <w:right w:val="nil"/>
            </w:tcBorders>
            <w:shd w:val="clear" w:color="auto" w:fill="auto"/>
            <w:tcMar>
              <w:top w:type="dxa" w:w="80"/>
              <w:left w:type="dxa" w:w="80"/>
              <w:bottom w:type="dxa" w:w="80"/>
              <w:right w:type="dxa" w:w="80"/>
            </w:tcMar>
            <w:vAlign w:val="top"/>
          </w:tcPr>
          <w:p>
            <w:pPr>
              <w:pStyle w:val="Normal.0"/>
              <w:spacing w:after="200"/>
            </w:pPr>
            <w:r>
              <w:rPr>
                <w:rStyle w:val="None"/>
                <w:rFonts w:ascii="Calibri" w:hAnsi="Calibri"/>
                <w:rtl w:val="0"/>
                <w:lang w:val="en-US"/>
              </w:rPr>
              <w:t>Dated</w:t>
            </w:r>
          </w:p>
        </w:tc>
        <w:tc>
          <w:tcPr>
            <w:tcW w:type="dxa" w:w="7149"/>
            <w:tcBorders>
              <w:top w:val="nil"/>
              <w:left w:val="nil"/>
              <w:bottom w:val="nil"/>
              <w:right w:val="nil"/>
            </w:tcBorders>
            <w:shd w:val="clear" w:color="auto" w:fill="auto"/>
            <w:tcMar>
              <w:top w:type="dxa" w:w="80"/>
              <w:left w:type="dxa" w:w="80"/>
              <w:bottom w:type="dxa" w:w="80"/>
              <w:right w:type="dxa" w:w="80"/>
            </w:tcMar>
            <w:vAlign w:val="top"/>
          </w:tcPr>
          <w:p>
            <w:pPr>
              <w:pStyle w:val="Normal.0"/>
              <w:spacing w:after="200"/>
            </w:pPr>
            <w:r>
              <w:rPr>
                <w:rStyle w:val="None"/>
                <w:rtl w:val="0"/>
                <w:lang w:val="en-US"/>
              </w:rPr>
              <w:t>     </w:t>
            </w:r>
          </w:p>
        </w:tc>
      </w:tr>
    </w:tbl>
    <w:p>
      <w:pPr>
        <w:pStyle w:val="Normal.0"/>
        <w:widowControl w:val="0"/>
        <w:ind w:left="108" w:hanging="108"/>
        <w:jc w:val="left"/>
        <w:rPr>
          <w:rStyle w:val="None"/>
          <w:rFonts w:ascii="Helvetica" w:cs="Helvetica" w:hAnsi="Helvetica" w:eastAsia="Helvetica"/>
          <w:b w:val="1"/>
          <w:bCs w:val="1"/>
        </w:rPr>
      </w:pPr>
    </w:p>
    <w:p>
      <w:pPr>
        <w:pStyle w:val="Normal.0"/>
        <w:widowControl w:val="0"/>
        <w:rPr>
          <w:rStyle w:val="None"/>
          <w:rFonts w:ascii="Helvetica" w:cs="Helvetica" w:hAnsi="Helvetica" w:eastAsia="Helvetica"/>
          <w:b w:val="1"/>
          <w:bCs w:val="1"/>
        </w:rPr>
      </w:pPr>
    </w:p>
    <w:p>
      <w:pPr>
        <w:pStyle w:val="Normal.0"/>
        <w:rPr>
          <w:rStyle w:val="None"/>
          <w:rFonts w:ascii="Helvetica" w:cs="Helvetica" w:hAnsi="Helvetica" w:eastAsia="Helvetica"/>
          <w:b w:val="1"/>
          <w:bCs w:val="1"/>
        </w:rPr>
      </w:pPr>
    </w:p>
    <w:p>
      <w:pPr>
        <w:pStyle w:val="Normal.0"/>
        <w:rPr>
          <w:rStyle w:val="None"/>
          <w:rFonts w:ascii="Helvetica" w:cs="Helvetica" w:hAnsi="Helvetica" w:eastAsia="Helvetica"/>
          <w:b w:val="1"/>
          <w:bCs w:val="1"/>
        </w:rPr>
      </w:pPr>
    </w:p>
    <w:p>
      <w:pPr>
        <w:pStyle w:val="Normal.0"/>
        <w:rPr>
          <w:rStyle w:val="None"/>
          <w:rFonts w:ascii="Helvetica" w:cs="Helvetica" w:hAnsi="Helvetica" w:eastAsia="Helvetica"/>
          <w:b w:val="1"/>
          <w:bCs w:val="1"/>
        </w:rPr>
      </w:pPr>
      <w:r>
        <w:rPr>
          <w:rStyle w:val="None"/>
          <w:rFonts w:ascii="Helvetica" w:hAnsi="Helvetica"/>
          <w:b w:val="1"/>
          <w:bCs w:val="1"/>
          <w:rtl w:val="0"/>
          <w:lang w:val="en-US"/>
        </w:rPr>
        <w:t xml:space="preserve">Other Parties </w:t>
      </w:r>
    </w:p>
    <w:p>
      <w:pPr>
        <w:pStyle w:val="Normal.0"/>
        <w:rPr>
          <w:rStyle w:val="None"/>
          <w:rFonts w:ascii="Helvetica" w:cs="Helvetica" w:hAnsi="Helvetica" w:eastAsia="Helvetica"/>
          <w:b w:val="1"/>
          <w:bCs w:val="1"/>
        </w:rPr>
      </w:pPr>
    </w:p>
    <w:tbl>
      <w:tblPr>
        <w:tblW w:w="924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93"/>
        <w:gridCol w:w="7149"/>
      </w:tblGrid>
      <w:tr>
        <w:tblPrEx>
          <w:shd w:val="clear" w:color="auto" w:fill="ced7e7"/>
        </w:tblPrEx>
        <w:trPr>
          <w:trHeight w:val="310" w:hRule="atLeast"/>
        </w:trPr>
        <w:tc>
          <w:tcPr>
            <w:tcW w:type="dxa" w:w="2093"/>
            <w:tcBorders>
              <w:top w:val="nil"/>
              <w:left w:val="nil"/>
              <w:bottom w:val="nil"/>
              <w:right w:val="nil"/>
            </w:tcBorders>
            <w:shd w:val="clear" w:color="auto" w:fill="auto"/>
            <w:tcMar>
              <w:top w:type="dxa" w:w="80"/>
              <w:left w:type="dxa" w:w="80"/>
              <w:bottom w:type="dxa" w:w="80"/>
              <w:right w:type="dxa" w:w="80"/>
            </w:tcMar>
            <w:vAlign w:val="top"/>
          </w:tcPr>
          <w:p>
            <w:pPr>
              <w:pStyle w:val="Normal.0"/>
              <w:spacing w:after="200"/>
            </w:pPr>
            <w:r>
              <w:rPr>
                <w:rStyle w:val="None"/>
                <w:rFonts w:ascii="Calibri" w:hAnsi="Calibri"/>
                <w:rtl w:val="0"/>
                <w:lang w:val="en-US"/>
              </w:rPr>
              <w:t>Signed</w:t>
            </w:r>
          </w:p>
        </w:tc>
        <w:tc>
          <w:tcPr>
            <w:tcW w:type="dxa" w:w="7149"/>
            <w:tcBorders>
              <w:top w:val="nil"/>
              <w:left w:val="nil"/>
              <w:bottom w:val="nil"/>
              <w:right w:val="nil"/>
            </w:tcBorders>
            <w:shd w:val="clear" w:color="auto" w:fill="auto"/>
            <w:tcMar>
              <w:top w:type="dxa" w:w="80"/>
              <w:left w:type="dxa" w:w="80"/>
              <w:bottom w:type="dxa" w:w="80"/>
              <w:right w:type="dxa" w:w="80"/>
            </w:tcMar>
            <w:vAlign w:val="top"/>
          </w:tcPr>
          <w:p>
            <w:pPr>
              <w:pStyle w:val="Normal.0"/>
              <w:spacing w:after="200"/>
            </w:pPr>
            <w:r>
              <w:rPr>
                <w:rStyle w:val="None"/>
                <w:rtl w:val="0"/>
                <w:lang w:val="en-US"/>
              </w:rPr>
              <w:t>     </w:t>
            </w:r>
          </w:p>
        </w:tc>
      </w:tr>
      <w:tr>
        <w:tblPrEx>
          <w:shd w:val="clear" w:color="auto" w:fill="ced7e7"/>
        </w:tblPrEx>
        <w:trPr>
          <w:trHeight w:val="310" w:hRule="atLeast"/>
        </w:trPr>
        <w:tc>
          <w:tcPr>
            <w:tcW w:type="dxa" w:w="2093"/>
            <w:tcBorders>
              <w:top w:val="nil"/>
              <w:left w:val="nil"/>
              <w:bottom w:val="nil"/>
              <w:right w:val="nil"/>
            </w:tcBorders>
            <w:shd w:val="clear" w:color="auto" w:fill="auto"/>
            <w:tcMar>
              <w:top w:type="dxa" w:w="80"/>
              <w:left w:type="dxa" w:w="80"/>
              <w:bottom w:type="dxa" w:w="80"/>
              <w:right w:type="dxa" w:w="80"/>
            </w:tcMar>
            <w:vAlign w:val="top"/>
          </w:tcPr>
          <w:p>
            <w:pPr>
              <w:pStyle w:val="Normal.0"/>
              <w:spacing w:after="200"/>
            </w:pPr>
            <w:r>
              <w:rPr>
                <w:rStyle w:val="None"/>
                <w:rFonts w:ascii="Calibri" w:hAnsi="Calibri"/>
                <w:rtl w:val="0"/>
                <w:lang w:val="en-US"/>
              </w:rPr>
              <w:t>Dated</w:t>
            </w:r>
          </w:p>
        </w:tc>
        <w:tc>
          <w:tcPr>
            <w:tcW w:type="dxa" w:w="7149"/>
            <w:tcBorders>
              <w:top w:val="nil"/>
              <w:left w:val="nil"/>
              <w:bottom w:val="nil"/>
              <w:right w:val="nil"/>
            </w:tcBorders>
            <w:shd w:val="clear" w:color="auto" w:fill="auto"/>
            <w:tcMar>
              <w:top w:type="dxa" w:w="80"/>
              <w:left w:type="dxa" w:w="80"/>
              <w:bottom w:type="dxa" w:w="80"/>
              <w:right w:type="dxa" w:w="80"/>
            </w:tcMar>
            <w:vAlign w:val="top"/>
          </w:tcPr>
          <w:p>
            <w:pPr>
              <w:pStyle w:val="Normal.0"/>
              <w:spacing w:after="200"/>
            </w:pPr>
            <w:r>
              <w:rPr>
                <w:rStyle w:val="None"/>
                <w:rtl w:val="0"/>
                <w:lang w:val="en-US"/>
              </w:rPr>
              <w:t>     </w:t>
            </w:r>
          </w:p>
        </w:tc>
      </w:tr>
    </w:tbl>
    <w:p>
      <w:pPr>
        <w:pStyle w:val="Normal.0"/>
        <w:widowControl w:val="0"/>
        <w:ind w:left="108" w:hanging="108"/>
        <w:jc w:val="left"/>
      </w:pPr>
      <w:r>
        <w:rPr>
          <w:rStyle w:val="None"/>
          <w:rFonts w:ascii="Helvetica" w:cs="Helvetica" w:hAnsi="Helvetica" w:eastAsia="Helvetica"/>
          <w:b w:val="1"/>
          <w:bCs w:val="1"/>
        </w:rPr>
      </w:r>
    </w:p>
    <w:sectPr>
      <w:headerReference w:type="default" r:id="rId4"/>
      <w:headerReference w:type="first" r:id="rId5"/>
      <w:footerReference w:type="default" r:id="rId6"/>
      <w:footerReference w:type="first" r:id="rId7"/>
      <w:pgSz w:w="11900" w:h="16840" w:orient="portrait"/>
      <w:pgMar w:top="1440" w:right="1440" w:bottom="1440" w:left="1440" w:header="708" w:footer="7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jc w:val="left"/>
      <w:rPr>
        <w:rFonts w:ascii="Calibri" w:cs="Calibri" w:hAnsi="Calibri" w:eastAsia="Calibri"/>
        <w:sz w:val="20"/>
        <w:szCs w:val="20"/>
      </w:rPr>
    </w:pPr>
    <w:r>
      <w:rPr>
        <w:rFonts w:ascii="Calibri" w:hAnsi="Calibri"/>
        <w:sz w:val="20"/>
        <w:szCs w:val="20"/>
        <w:rtl w:val="0"/>
        <w:lang w:val="en-US"/>
      </w:rPr>
      <w:t xml:space="preserve">April 2021 </w:t>
    </w:r>
  </w:p>
  <w:p>
    <w:pPr>
      <w:pStyle w:val="Footer"/>
      <w:tabs>
        <w:tab w:val="right" w:pos="9000"/>
        <w:tab w:val="clear" w:pos="9026"/>
      </w:tabs>
      <w:jc w:val="right"/>
      <w:rPr>
        <w:rStyle w:val="None"/>
        <w:rFonts w:ascii="Calibri" w:cs="Calibri" w:hAnsi="Calibri" w:eastAsia="Calibri"/>
      </w:rPr>
    </w:pPr>
    <w:r>
      <w:rPr>
        <w:rStyle w:val="Hyperlink.0"/>
      </w:rPr>
      <w:fldChar w:fldCharType="begin" w:fldLock="0"/>
    </w:r>
    <w:r>
      <w:rPr>
        <w:rStyle w:val="Hyperlink.0"/>
      </w:rPr>
      <w:instrText xml:space="preserve"> HYPERLINK "http://www.completemediation.co.uk"</w:instrText>
    </w:r>
    <w:r>
      <w:rPr>
        <w:rStyle w:val="Hyperlink.0"/>
      </w:rPr>
      <w:fldChar w:fldCharType="separate" w:fldLock="0"/>
    </w:r>
    <w:r>
      <w:rPr>
        <w:rStyle w:val="Hyperlink.0"/>
        <w:rtl w:val="0"/>
        <w:lang w:val="en-US"/>
      </w:rPr>
      <w:t>www.completemediation.co.uk</w:t>
    </w:r>
    <w:r>
      <w:rPr/>
      <w:fldChar w:fldCharType="end" w:fldLock="0"/>
    </w:r>
  </w:p>
  <w:p>
    <w:pPr>
      <w:pStyle w:val="Footer"/>
      <w:tabs>
        <w:tab w:val="right" w:pos="9000"/>
        <w:tab w:val="clear" w:pos="9026"/>
      </w:tabs>
      <w:jc w:val="right"/>
    </w:pPr>
    <w:r>
      <w:rPr>
        <w:rStyle w:val="None"/>
        <w:rFonts w:ascii="Calibri" w:hAnsi="Calibri"/>
        <w:rtl w:val="0"/>
        <w:lang w:val="en-US"/>
      </w:rPr>
      <w:t>Tel: 0151 556 2619</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jc w:val="center"/>
      <w:rPr>
        <w:rStyle w:val="None"/>
        <w:rFonts w:ascii="Calibri" w:cs="Calibri" w:hAnsi="Calibri" w:eastAsia="Calibri"/>
        <w:sz w:val="20"/>
        <w:szCs w:val="20"/>
      </w:rPr>
    </w:pPr>
  </w:p>
  <w:p>
    <w:pPr>
      <w:pStyle w:val="Footer"/>
      <w:tabs>
        <w:tab w:val="right" w:pos="9000"/>
        <w:tab w:val="clear" w:pos="9026"/>
      </w:tabs>
      <w:jc w:val="left"/>
      <w:rPr>
        <w:rStyle w:val="None"/>
        <w:rFonts w:ascii="Calibri" w:cs="Calibri" w:hAnsi="Calibri" w:eastAsia="Calibri"/>
        <w:sz w:val="20"/>
        <w:szCs w:val="20"/>
      </w:rPr>
    </w:pPr>
    <w:r>
      <w:rPr>
        <w:rStyle w:val="None"/>
        <w:rFonts w:ascii="Calibri" w:hAnsi="Calibri"/>
        <w:sz w:val="20"/>
        <w:szCs w:val="20"/>
        <w:rtl w:val="0"/>
        <w:lang w:val="en-US"/>
      </w:rPr>
      <w:t xml:space="preserve">April 2021 </w:t>
    </w:r>
  </w:p>
  <w:p>
    <w:pPr>
      <w:pStyle w:val="Footer"/>
      <w:tabs>
        <w:tab w:val="right" w:pos="9000"/>
        <w:tab w:val="clear" w:pos="9026"/>
      </w:tabs>
      <w:jc w:val="left"/>
      <w:rPr>
        <w:rStyle w:val="None"/>
        <w:rFonts w:ascii="Calibri" w:cs="Calibri" w:hAnsi="Calibri" w:eastAsia="Calibri"/>
        <w:sz w:val="20"/>
        <w:szCs w:val="20"/>
      </w:rPr>
    </w:pPr>
    <w:r>
      <w:rPr>
        <w:rStyle w:val="None"/>
        <w:rFonts w:ascii="Calibri" w:hAnsi="Calibri"/>
        <w:sz w:val="20"/>
        <w:szCs w:val="20"/>
        <w:rtl w:val="0"/>
        <w:lang w:val="en-US"/>
      </w:rPr>
      <w:t xml:space="preserve"> </w:t>
    </w:r>
  </w:p>
  <w:p>
    <w:pPr>
      <w:pStyle w:val="Footer"/>
      <w:tabs>
        <w:tab w:val="right" w:pos="9000"/>
        <w:tab w:val="clear" w:pos="9026"/>
      </w:tabs>
      <w:jc w:val="right"/>
      <w:rPr>
        <w:rStyle w:val="None"/>
        <w:rFonts w:ascii="Calibri" w:cs="Calibri" w:hAnsi="Calibri" w:eastAsia="Calibri"/>
      </w:rPr>
    </w:pPr>
    <w:r>
      <w:rPr>
        <w:rStyle w:val="Hyperlink.0"/>
      </w:rPr>
      <w:fldChar w:fldCharType="begin" w:fldLock="0"/>
    </w:r>
    <w:r>
      <w:rPr>
        <w:rStyle w:val="Hyperlink.0"/>
      </w:rPr>
      <w:instrText xml:space="preserve"> HYPERLINK "http://www.completemediation.co.uk"</w:instrText>
    </w:r>
    <w:r>
      <w:rPr>
        <w:rStyle w:val="Hyperlink.0"/>
      </w:rPr>
      <w:fldChar w:fldCharType="separate" w:fldLock="0"/>
    </w:r>
    <w:r>
      <w:rPr>
        <w:rStyle w:val="Hyperlink.0"/>
        <w:rtl w:val="0"/>
        <w:lang w:val="en-US"/>
      </w:rPr>
      <w:t>www.completemediation.co.uk</w:t>
    </w:r>
    <w:r>
      <w:rPr/>
      <w:fldChar w:fldCharType="end" w:fldLock="0"/>
    </w:r>
  </w:p>
  <w:p>
    <w:pPr>
      <w:pStyle w:val="Footer"/>
      <w:tabs>
        <w:tab w:val="right" w:pos="9000"/>
        <w:tab w:val="clear" w:pos="9026"/>
      </w:tabs>
      <w:jc w:val="right"/>
    </w:pPr>
    <w:r>
      <w:rPr>
        <w:rStyle w:val="None"/>
        <w:rFonts w:ascii="Calibri" w:hAnsi="Calibri"/>
        <w:rtl w:val="0"/>
        <w:lang w:val="en-US"/>
      </w:rPr>
      <w:t>Tel:  0151 556 2619</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jc w:val="center"/>
    </w:pPr>
    <w:r>
      <w:drawing>
        <wp:inline distT="0" distB="0" distL="0" distR="0">
          <wp:extent cx="1284866" cy="1376925"/>
          <wp:effectExtent l="0" t="0" r="0" b="0"/>
          <wp:docPr id="1073741825" name="officeArt object" descr="Main Logo - CMYK.jpg"/>
          <wp:cNvGraphicFramePr/>
          <a:graphic xmlns:a="http://schemas.openxmlformats.org/drawingml/2006/main">
            <a:graphicData uri="http://schemas.openxmlformats.org/drawingml/2006/picture">
              <pic:pic xmlns:pic="http://schemas.openxmlformats.org/drawingml/2006/picture">
                <pic:nvPicPr>
                  <pic:cNvPr id="1073741825" name="Main Logo - CMYK.jpg" descr="Main Logo - CMYK.jpg"/>
                  <pic:cNvPicPr>
                    <a:picLocks noChangeAspect="1"/>
                  </pic:cNvPicPr>
                </pic:nvPicPr>
                <pic:blipFill>
                  <a:blip r:embed="rId1">
                    <a:extLst/>
                  </a:blip>
                  <a:stretch>
                    <a:fillRect/>
                  </a:stretch>
                </pic:blipFill>
                <pic:spPr>
                  <a:xfrm>
                    <a:off x="0" y="0"/>
                    <a:ext cx="1284866" cy="1376925"/>
                  </a:xfrm>
                  <a:prstGeom prst="rect">
                    <a:avLst/>
                  </a:prstGeom>
                  <a:ln w="12700" cap="flat">
                    <a:noFill/>
                    <a:miter lim="400000"/>
                  </a:ln>
                  <a:effectLst/>
                </pic:spPr>
              </pic:pic>
            </a:graphicData>
          </a:graphic>
        </wp:inline>
      </w:drawing>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jc w:val="center"/>
    </w:pPr>
    <w:r>
      <w:drawing>
        <wp:inline distT="0" distB="0" distL="0" distR="0">
          <wp:extent cx="1284866" cy="1376925"/>
          <wp:effectExtent l="0" t="0" r="0" b="0"/>
          <wp:docPr id="1073741826" name="officeArt object" descr="Main Logo - CMYK.jpg"/>
          <wp:cNvGraphicFramePr/>
          <a:graphic xmlns:a="http://schemas.openxmlformats.org/drawingml/2006/main">
            <a:graphicData uri="http://schemas.openxmlformats.org/drawingml/2006/picture">
              <pic:pic xmlns:pic="http://schemas.openxmlformats.org/drawingml/2006/picture">
                <pic:nvPicPr>
                  <pic:cNvPr id="1073741826" name="Main Logo - CMYK.jpg" descr="Main Logo - CMYK.jpg"/>
                  <pic:cNvPicPr>
                    <a:picLocks noChangeAspect="1"/>
                  </pic:cNvPicPr>
                </pic:nvPicPr>
                <pic:blipFill>
                  <a:blip r:embed="rId1">
                    <a:extLst/>
                  </a:blip>
                  <a:stretch>
                    <a:fillRect/>
                  </a:stretch>
                </pic:blipFill>
                <pic:spPr>
                  <a:xfrm>
                    <a:off x="0" y="0"/>
                    <a:ext cx="1284866" cy="1376925"/>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605"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28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0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2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44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6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8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60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2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605"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28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0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2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44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6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8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60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2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605"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28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0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2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44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6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8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60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2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605"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28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0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2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44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6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8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60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2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605"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28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0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2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44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6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8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60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2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605"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28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0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2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44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6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8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60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2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2"/>
  </w:abstractNum>
  <w:abstractNum w:abstractNumId="7">
    <w:multiLevelType w:val="hybridMultilevel"/>
    <w:styleLink w:val="Imported Style 2"/>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6"/>
    <w:lvlOverride w:ilvl="0">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Calibri" w:cs="Calibri" w:hAnsi="Calibri" w:eastAsia="Calibri"/>
      <w:outline w:val="0"/>
      <w:color w:val="0563c1"/>
      <w:u w:val="single" w:color="0563c1"/>
      <w14:textFill>
        <w14:solidFill>
          <w14:srgbClr w14:val="0563C1"/>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2">
    <w:name w:val="Imported Style 2"/>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_rels/header2.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